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EFE" w:rsidRPr="001357B0" w:rsidRDefault="006C17B3" w:rsidP="00145EFE">
      <w:pPr>
        <w:spacing w:line="360" w:lineRule="auto"/>
        <w:jc w:val="center"/>
        <w:rPr>
          <w:b/>
          <w:sz w:val="28"/>
          <w:szCs w:val="28"/>
        </w:rPr>
      </w:pPr>
      <w:r w:rsidRPr="00935914">
        <w:rPr>
          <w:rFonts w:hint="eastAsia"/>
          <w:b/>
          <w:sz w:val="28"/>
          <w:szCs w:val="28"/>
        </w:rPr>
        <w:t>中国私募基金系列指数之</w:t>
      </w:r>
      <w:r w:rsidR="00546B9D" w:rsidRPr="00546B9D">
        <w:rPr>
          <w:rFonts w:hint="eastAsia"/>
          <w:b/>
          <w:sz w:val="28"/>
          <w:szCs w:val="28"/>
        </w:rPr>
        <w:t>二十亿私募股票</w:t>
      </w:r>
      <w:r w:rsidRPr="00935914">
        <w:rPr>
          <w:rFonts w:hint="eastAsia"/>
          <w:b/>
          <w:sz w:val="28"/>
          <w:szCs w:val="28"/>
        </w:rPr>
        <w:t>指数</w:t>
      </w:r>
    </w:p>
    <w:p w:rsidR="00145EFE" w:rsidRPr="00145EFE" w:rsidRDefault="00966579" w:rsidP="00145EFE">
      <w:pPr>
        <w:spacing w:line="360" w:lineRule="auto"/>
        <w:rPr>
          <w:b/>
          <w:sz w:val="24"/>
          <w:szCs w:val="24"/>
        </w:rPr>
      </w:pPr>
      <w:r>
        <w:rPr>
          <w:rFonts w:hint="eastAsia"/>
          <w:b/>
          <w:sz w:val="24"/>
          <w:szCs w:val="24"/>
        </w:rPr>
        <w:t>选样方法</w:t>
      </w:r>
      <w:r w:rsidR="001357B0">
        <w:rPr>
          <w:rFonts w:hint="eastAsia"/>
          <w:b/>
          <w:sz w:val="24"/>
          <w:szCs w:val="24"/>
        </w:rPr>
        <w:t>：</w:t>
      </w:r>
    </w:p>
    <w:p w:rsidR="00546B9D" w:rsidRDefault="00546B9D" w:rsidP="00546B9D">
      <w:pPr>
        <w:spacing w:line="360" w:lineRule="auto"/>
        <w:rPr>
          <w:rFonts w:hint="eastAsia"/>
        </w:rPr>
      </w:pPr>
      <w:r>
        <w:rPr>
          <w:rFonts w:hint="eastAsia"/>
        </w:rPr>
        <w:t>首先，在选样时间点上对愿意参与指数的私募基金管理及其产品进行初步筛选。</w:t>
      </w:r>
    </w:p>
    <w:p w:rsidR="00546B9D" w:rsidRDefault="00546B9D" w:rsidP="00546B9D">
      <w:pPr>
        <w:spacing w:line="360" w:lineRule="auto"/>
        <w:rPr>
          <w:rFonts w:hint="eastAsia"/>
        </w:rPr>
      </w:pPr>
      <w:r>
        <w:rPr>
          <w:rFonts w:hint="eastAsia"/>
        </w:rPr>
        <w:t>成为二十亿私募指数的成分公司及产品满足如下条件：</w:t>
      </w:r>
    </w:p>
    <w:p w:rsidR="00546B9D" w:rsidRDefault="00546B9D" w:rsidP="00546B9D">
      <w:pPr>
        <w:spacing w:line="360" w:lineRule="auto"/>
        <w:rPr>
          <w:rFonts w:hint="eastAsia"/>
        </w:rPr>
      </w:pPr>
      <w:r>
        <w:rPr>
          <w:rFonts w:hint="eastAsia"/>
        </w:rPr>
        <w:t>1</w:t>
      </w:r>
      <w:r>
        <w:rPr>
          <w:rFonts w:hint="eastAsia"/>
        </w:rPr>
        <w:t>）</w:t>
      </w:r>
      <w:r>
        <w:rPr>
          <w:rFonts w:hint="eastAsia"/>
        </w:rPr>
        <w:tab/>
      </w:r>
      <w:r>
        <w:rPr>
          <w:rFonts w:hint="eastAsia"/>
        </w:rPr>
        <w:t>私募基金管理人总管</w:t>
      </w:r>
      <w:proofErr w:type="gramStart"/>
      <w:r>
        <w:rPr>
          <w:rFonts w:hint="eastAsia"/>
        </w:rPr>
        <w:t>理规模</w:t>
      </w:r>
      <w:proofErr w:type="gramEnd"/>
      <w:r>
        <w:rPr>
          <w:rFonts w:hint="eastAsia"/>
        </w:rPr>
        <w:t>不低于</w:t>
      </w:r>
      <w:r>
        <w:rPr>
          <w:rFonts w:hint="eastAsia"/>
        </w:rPr>
        <w:t>20</w:t>
      </w:r>
      <w:r>
        <w:rPr>
          <w:rFonts w:hint="eastAsia"/>
        </w:rPr>
        <w:t>亿元人民币，且股票类产品的总体管理规模不低于</w:t>
      </w:r>
      <w:r>
        <w:rPr>
          <w:rFonts w:hint="eastAsia"/>
        </w:rPr>
        <w:t>10</w:t>
      </w:r>
      <w:r>
        <w:rPr>
          <w:rFonts w:hint="eastAsia"/>
        </w:rPr>
        <w:t>亿元人民币；</w:t>
      </w:r>
    </w:p>
    <w:p w:rsidR="00546B9D" w:rsidRDefault="00546B9D" w:rsidP="00546B9D">
      <w:pPr>
        <w:spacing w:line="360" w:lineRule="auto"/>
        <w:rPr>
          <w:rFonts w:hint="eastAsia"/>
        </w:rPr>
      </w:pPr>
      <w:r>
        <w:rPr>
          <w:rFonts w:hint="eastAsia"/>
        </w:rPr>
        <w:t>2</w:t>
      </w:r>
      <w:r>
        <w:rPr>
          <w:rFonts w:hint="eastAsia"/>
        </w:rPr>
        <w:t>）</w:t>
      </w:r>
      <w:r>
        <w:rPr>
          <w:rFonts w:hint="eastAsia"/>
        </w:rPr>
        <w:tab/>
      </w:r>
      <w:r>
        <w:rPr>
          <w:rFonts w:hint="eastAsia"/>
        </w:rPr>
        <w:t>产品符合契约型模式，可以直接作为管理人或</w:t>
      </w:r>
      <w:proofErr w:type="gramStart"/>
      <w:r>
        <w:rPr>
          <w:rFonts w:hint="eastAsia"/>
        </w:rPr>
        <w:t>间接以</w:t>
      </w:r>
      <w:proofErr w:type="gramEnd"/>
      <w:r>
        <w:rPr>
          <w:rFonts w:hint="eastAsia"/>
        </w:rPr>
        <w:t>投资顾问形式管理产品（包括信托、券商集合、基金专户、私募自主发行等）；</w:t>
      </w:r>
    </w:p>
    <w:p w:rsidR="00546B9D" w:rsidRDefault="00546B9D" w:rsidP="00546B9D">
      <w:pPr>
        <w:spacing w:line="360" w:lineRule="auto"/>
        <w:rPr>
          <w:rFonts w:hint="eastAsia"/>
        </w:rPr>
      </w:pPr>
      <w:r>
        <w:rPr>
          <w:rFonts w:hint="eastAsia"/>
        </w:rPr>
        <w:t>3</w:t>
      </w:r>
      <w:r>
        <w:rPr>
          <w:rFonts w:hint="eastAsia"/>
        </w:rPr>
        <w:t>）</w:t>
      </w:r>
      <w:r>
        <w:rPr>
          <w:rFonts w:hint="eastAsia"/>
        </w:rPr>
        <w:tab/>
      </w:r>
      <w:r>
        <w:rPr>
          <w:rFonts w:hint="eastAsia"/>
        </w:rPr>
        <w:t>产品成立等于或大于</w:t>
      </w:r>
      <w:r>
        <w:rPr>
          <w:rFonts w:hint="eastAsia"/>
        </w:rPr>
        <w:t>6</w:t>
      </w:r>
      <w:r>
        <w:rPr>
          <w:rFonts w:hint="eastAsia"/>
        </w:rPr>
        <w:t>个月；</w:t>
      </w:r>
    </w:p>
    <w:p w:rsidR="00546B9D" w:rsidRDefault="00546B9D" w:rsidP="00546B9D">
      <w:pPr>
        <w:spacing w:line="360" w:lineRule="auto"/>
        <w:rPr>
          <w:rFonts w:hint="eastAsia"/>
        </w:rPr>
      </w:pPr>
      <w:r>
        <w:rPr>
          <w:rFonts w:hint="eastAsia"/>
        </w:rPr>
        <w:t>4</w:t>
      </w:r>
      <w:r>
        <w:rPr>
          <w:rFonts w:hint="eastAsia"/>
        </w:rPr>
        <w:t>）</w:t>
      </w:r>
      <w:r>
        <w:rPr>
          <w:rFonts w:hint="eastAsia"/>
        </w:rPr>
        <w:tab/>
      </w:r>
      <w:r>
        <w:rPr>
          <w:rFonts w:hint="eastAsia"/>
        </w:rPr>
        <w:t>产品规模要求等于或大于</w:t>
      </w:r>
      <w:r>
        <w:rPr>
          <w:rFonts w:hint="eastAsia"/>
        </w:rPr>
        <w:t>5000</w:t>
      </w:r>
      <w:r>
        <w:rPr>
          <w:rFonts w:hint="eastAsia"/>
        </w:rPr>
        <w:t>万人民币，且产品处于月度</w:t>
      </w:r>
      <w:r>
        <w:rPr>
          <w:rFonts w:hint="eastAsia"/>
        </w:rPr>
        <w:t>/</w:t>
      </w:r>
      <w:r>
        <w:rPr>
          <w:rFonts w:hint="eastAsia"/>
        </w:rPr>
        <w:t>临时可申购</w:t>
      </w:r>
      <w:r>
        <w:rPr>
          <w:rFonts w:hint="eastAsia"/>
        </w:rPr>
        <w:t>/</w:t>
      </w:r>
      <w:r>
        <w:rPr>
          <w:rFonts w:hint="eastAsia"/>
        </w:rPr>
        <w:t>赎回状态；</w:t>
      </w:r>
    </w:p>
    <w:p w:rsidR="00546B9D" w:rsidRDefault="00546B9D" w:rsidP="00546B9D">
      <w:pPr>
        <w:spacing w:line="360" w:lineRule="auto"/>
        <w:rPr>
          <w:rFonts w:hint="eastAsia"/>
        </w:rPr>
      </w:pPr>
      <w:r>
        <w:rPr>
          <w:rFonts w:hint="eastAsia"/>
        </w:rPr>
        <w:t>5</w:t>
      </w:r>
      <w:r>
        <w:rPr>
          <w:rFonts w:hint="eastAsia"/>
        </w:rPr>
        <w:t>）</w:t>
      </w:r>
      <w:r>
        <w:rPr>
          <w:rFonts w:hint="eastAsia"/>
        </w:rPr>
        <w:tab/>
      </w:r>
      <w:r>
        <w:rPr>
          <w:rFonts w:hint="eastAsia"/>
        </w:rPr>
        <w:t>正常情况下，产品到期日距今不少于</w:t>
      </w:r>
      <w:r>
        <w:rPr>
          <w:rFonts w:hint="eastAsia"/>
        </w:rPr>
        <w:t>2</w:t>
      </w:r>
      <w:r>
        <w:rPr>
          <w:rFonts w:hint="eastAsia"/>
        </w:rPr>
        <w:t>年，最好是存续期较长或永续产品；</w:t>
      </w:r>
    </w:p>
    <w:p w:rsidR="00546B9D" w:rsidRDefault="00546B9D" w:rsidP="00546B9D">
      <w:pPr>
        <w:spacing w:line="360" w:lineRule="auto"/>
        <w:rPr>
          <w:rFonts w:hint="eastAsia"/>
        </w:rPr>
      </w:pPr>
      <w:r>
        <w:rPr>
          <w:rFonts w:hint="eastAsia"/>
        </w:rPr>
        <w:t>6</w:t>
      </w:r>
      <w:r>
        <w:rPr>
          <w:rFonts w:hint="eastAsia"/>
        </w:rPr>
        <w:t>）</w:t>
      </w:r>
      <w:r>
        <w:rPr>
          <w:rFonts w:hint="eastAsia"/>
        </w:rPr>
        <w:tab/>
      </w:r>
      <w:r>
        <w:rPr>
          <w:rFonts w:hint="eastAsia"/>
        </w:rPr>
        <w:t>正常情况下，为确保指数的时效性，产品净值需为周频率公布；</w:t>
      </w:r>
    </w:p>
    <w:p w:rsidR="00546B9D" w:rsidRDefault="00546B9D" w:rsidP="00546B9D">
      <w:pPr>
        <w:spacing w:line="360" w:lineRule="auto"/>
      </w:pPr>
    </w:p>
    <w:p w:rsidR="00546B9D" w:rsidRDefault="00546B9D" w:rsidP="00546B9D">
      <w:pPr>
        <w:spacing w:line="360" w:lineRule="auto"/>
        <w:rPr>
          <w:rFonts w:hint="eastAsia"/>
        </w:rPr>
      </w:pPr>
      <w:r>
        <w:rPr>
          <w:rFonts w:hint="eastAsia"/>
        </w:rPr>
        <w:t>其次，纳入指数计算的私募基金产品还需符合进一步的筛选标准，以</w:t>
      </w:r>
      <w:proofErr w:type="gramStart"/>
      <w:r>
        <w:rPr>
          <w:rFonts w:hint="eastAsia"/>
        </w:rPr>
        <w:t>给指数</w:t>
      </w:r>
      <w:proofErr w:type="gramEnd"/>
      <w:r>
        <w:rPr>
          <w:rFonts w:hint="eastAsia"/>
        </w:rPr>
        <w:t>计算提供数据有保障、业绩有代表性的产品集合。</w:t>
      </w:r>
    </w:p>
    <w:p w:rsidR="00966579" w:rsidRPr="00966579" w:rsidRDefault="00546B9D" w:rsidP="00546B9D">
      <w:pPr>
        <w:spacing w:line="360" w:lineRule="auto"/>
      </w:pPr>
      <w:r>
        <w:rPr>
          <w:rFonts w:hint="eastAsia"/>
        </w:rPr>
        <w:t>再次，指数构建所依据的基金分类来自于朝阳永续制定并维护的私募基金应用分类，该分类结合国外已有的分类体系及国内私募产品市场的实际情况制定，私募基金的具体分类结果由朝阳永续的研究、数据保障团队及财富子公司的投资、调研团队共同维护。</w:t>
      </w:r>
      <w:bookmarkStart w:id="0" w:name="_GoBack"/>
      <w:bookmarkEnd w:id="0"/>
    </w:p>
    <w:p w:rsidR="00553E28" w:rsidRPr="00966579" w:rsidRDefault="00553E28" w:rsidP="009A3492">
      <w:pPr>
        <w:spacing w:line="360" w:lineRule="auto"/>
        <w:rPr>
          <w:sz w:val="24"/>
          <w:szCs w:val="24"/>
        </w:rPr>
      </w:pPr>
    </w:p>
    <w:sectPr w:rsidR="00553E28" w:rsidRPr="0096657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699" w:rsidRDefault="00EC1699" w:rsidP="001357B0">
      <w:r>
        <w:separator/>
      </w:r>
    </w:p>
  </w:endnote>
  <w:endnote w:type="continuationSeparator" w:id="0">
    <w:p w:rsidR="00EC1699" w:rsidRDefault="00EC1699" w:rsidP="0013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B0" w:rsidRDefault="00115BA7" w:rsidP="001357B0">
    <w:pPr>
      <w:widowControl/>
      <w:spacing w:line="360" w:lineRule="auto"/>
      <w:jc w:val="left"/>
      <w:rPr>
        <w:rFonts w:ascii="Helvetica" w:eastAsia="宋体" w:hAnsi="Helvetica" w:cs="Helvetica"/>
        <w:color w:val="000000" w:themeColor="text1"/>
        <w:kern w:val="0"/>
        <w:sz w:val="18"/>
        <w:szCs w:val="18"/>
      </w:rPr>
    </w:pPr>
    <w:r w:rsidRPr="00115BA7">
      <w:rPr>
        <w:rFonts w:ascii="Helvetica" w:eastAsia="宋体" w:hAnsi="Helvetica" w:cs="Helvetica" w:hint="eastAsia"/>
        <w:color w:val="000000" w:themeColor="text1"/>
        <w:kern w:val="0"/>
        <w:sz w:val="18"/>
        <w:szCs w:val="18"/>
      </w:rPr>
      <w:t>中国私募基金系列指数</w:t>
    </w:r>
    <w:r w:rsidR="001357B0">
      <w:rPr>
        <w:rFonts w:ascii="Helvetica" w:eastAsia="宋体" w:hAnsi="Helvetica" w:cs="Helvetica" w:hint="eastAsia"/>
        <w:color w:val="000000" w:themeColor="text1"/>
        <w:kern w:val="0"/>
        <w:sz w:val="18"/>
        <w:szCs w:val="18"/>
      </w:rPr>
      <w:t>合作联系方式：</w:t>
    </w:r>
  </w:p>
  <w:p w:rsidR="001357B0" w:rsidRPr="001357B0" w:rsidRDefault="001357B0" w:rsidP="001357B0">
    <w:pPr>
      <w:widowControl/>
      <w:spacing w:line="360" w:lineRule="auto"/>
      <w:jc w:val="left"/>
    </w:pPr>
    <w:r w:rsidRPr="001357B0">
      <w:rPr>
        <w:rFonts w:ascii="Helvetica" w:eastAsia="宋体" w:hAnsi="Helvetica" w:cs="Helvetica"/>
        <w:color w:val="000000" w:themeColor="text1"/>
        <w:kern w:val="0"/>
        <w:sz w:val="18"/>
        <w:szCs w:val="18"/>
      </w:rPr>
      <w:t>联系人：檀女士</w:t>
    </w:r>
    <w:r>
      <w:rPr>
        <w:rFonts w:ascii="Helvetica" w:eastAsia="宋体" w:hAnsi="Helvetica" w:cs="Helvetica" w:hint="eastAsia"/>
        <w:color w:val="000000" w:themeColor="text1"/>
        <w:kern w:val="0"/>
        <w:sz w:val="18"/>
        <w:szCs w:val="18"/>
      </w:rPr>
      <w:t xml:space="preserve">      </w:t>
    </w:r>
    <w:r w:rsidRPr="001357B0">
      <w:rPr>
        <w:rFonts w:ascii="Helvetica" w:eastAsia="宋体" w:hAnsi="Helvetica" w:cs="Helvetica"/>
        <w:color w:val="000000" w:themeColor="text1"/>
        <w:kern w:val="0"/>
        <w:sz w:val="18"/>
        <w:szCs w:val="18"/>
      </w:rPr>
      <w:t>联系电话：</w:t>
    </w:r>
    <w:r w:rsidRPr="001357B0">
      <w:rPr>
        <w:rFonts w:ascii="Helvetica" w:eastAsia="宋体" w:hAnsi="Helvetica" w:cs="Helvetica"/>
        <w:color w:val="000000" w:themeColor="text1"/>
        <w:kern w:val="0"/>
        <w:sz w:val="18"/>
        <w:szCs w:val="18"/>
      </w:rPr>
      <w:t>021-68889706-8601</w:t>
    </w:r>
    <w:r>
      <w:rPr>
        <w:rFonts w:ascii="Helvetica" w:eastAsia="宋体" w:hAnsi="Helvetica" w:cs="Helvetica" w:hint="eastAsia"/>
        <w:color w:val="000000" w:themeColor="text1"/>
        <w:kern w:val="0"/>
        <w:sz w:val="18"/>
        <w:szCs w:val="18"/>
      </w:rPr>
      <w:t xml:space="preserve">        </w:t>
    </w:r>
    <w:r w:rsidRPr="001357B0">
      <w:rPr>
        <w:rFonts w:ascii="Helvetica" w:eastAsia="宋体" w:hAnsi="Helvetica" w:cs="Helvetica"/>
        <w:color w:val="000000" w:themeColor="text1"/>
        <w:kern w:val="0"/>
        <w:sz w:val="18"/>
        <w:szCs w:val="18"/>
      </w:rPr>
      <w:t>电子邮件：</w:t>
    </w:r>
    <w:r w:rsidRPr="001357B0">
      <w:rPr>
        <w:rFonts w:ascii="Helvetica" w:eastAsia="宋体" w:hAnsi="Helvetica" w:cs="Helvetica"/>
        <w:color w:val="000000" w:themeColor="text1"/>
        <w:kern w:val="0"/>
        <w:sz w:val="18"/>
        <w:szCs w:val="18"/>
      </w:rPr>
      <w:t>tanjing@go-goal.com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699" w:rsidRDefault="00EC1699" w:rsidP="001357B0">
      <w:r>
        <w:separator/>
      </w:r>
    </w:p>
  </w:footnote>
  <w:footnote w:type="continuationSeparator" w:id="0">
    <w:p w:rsidR="00EC1699" w:rsidRDefault="00EC1699" w:rsidP="00135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B0" w:rsidRPr="001357B0" w:rsidRDefault="001357B0" w:rsidP="001357B0">
    <w:pPr>
      <w:pStyle w:val="a3"/>
      <w:pBdr>
        <w:bottom w:val="single" w:sz="6" w:space="0" w:color="auto"/>
      </w:pBdr>
      <w:jc w:val="right"/>
      <w:rPr>
        <w:sz w:val="21"/>
      </w:rPr>
    </w:pPr>
    <w:r w:rsidRPr="001357B0">
      <w:rPr>
        <w:noProof/>
        <w:sz w:val="21"/>
      </w:rPr>
      <w:drawing>
        <wp:anchor distT="0" distB="0" distL="114300" distR="114300" simplePos="0" relativeHeight="251658240" behindDoc="0" locked="0" layoutInCell="1" allowOverlap="1" wp14:anchorId="5DF4FBCC" wp14:editId="1A6CAFA2">
          <wp:simplePos x="0" y="0"/>
          <wp:positionH relativeFrom="column">
            <wp:posOffset>0</wp:posOffset>
          </wp:positionH>
          <wp:positionV relativeFrom="paragraph">
            <wp:posOffset>-330835</wp:posOffset>
          </wp:positionV>
          <wp:extent cx="1304925" cy="429621"/>
          <wp:effectExtent l="0" t="0" r="0" b="8890"/>
          <wp:wrapNone/>
          <wp:docPr id="2" name="图片 2" descr="E:\素材\LOGO\朝阳永续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素材\LOGO\朝阳永续logo-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429621"/>
                  </a:xfrm>
                  <a:prstGeom prst="rect">
                    <a:avLst/>
                  </a:prstGeom>
                  <a:noFill/>
                  <a:ln>
                    <a:noFill/>
                  </a:ln>
                </pic:spPr>
              </pic:pic>
            </a:graphicData>
          </a:graphic>
          <wp14:sizeRelH relativeFrom="page">
            <wp14:pctWidth>0</wp14:pctWidth>
          </wp14:sizeRelH>
          <wp14:sizeRelV relativeFrom="page">
            <wp14:pctHeight>0</wp14:pctHeight>
          </wp14:sizeRelV>
        </wp:anchor>
      </w:drawing>
    </w:r>
    <w:r w:rsidR="00115BA7" w:rsidRPr="00115BA7">
      <w:rPr>
        <w:rFonts w:hint="eastAsia"/>
        <w:noProof/>
        <w:sz w:val="21"/>
      </w:rPr>
      <w:t>中国私募基金系列指数</w:t>
    </w:r>
    <w:r w:rsidRPr="001357B0">
      <w:rPr>
        <w:rFonts w:hint="eastAsia"/>
        <w:sz w:val="21"/>
      </w:rPr>
      <w:t>http://index.go-goal.com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31881"/>
    <w:multiLevelType w:val="multilevel"/>
    <w:tmpl w:val="6676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7C8"/>
    <w:rsid w:val="000745A9"/>
    <w:rsid w:val="00115BA7"/>
    <w:rsid w:val="001357B0"/>
    <w:rsid w:val="00145EFE"/>
    <w:rsid w:val="003269F3"/>
    <w:rsid w:val="00546B9D"/>
    <w:rsid w:val="00553E28"/>
    <w:rsid w:val="006C17B3"/>
    <w:rsid w:val="006D2BDB"/>
    <w:rsid w:val="00763000"/>
    <w:rsid w:val="00830A82"/>
    <w:rsid w:val="00966579"/>
    <w:rsid w:val="009A3492"/>
    <w:rsid w:val="00A56C3D"/>
    <w:rsid w:val="00AD6CE9"/>
    <w:rsid w:val="00E022C8"/>
    <w:rsid w:val="00E247C8"/>
    <w:rsid w:val="00EC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6BBC9C-5C92-4AF8-85E0-3348EC15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57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57B0"/>
    <w:rPr>
      <w:sz w:val="18"/>
      <w:szCs w:val="18"/>
    </w:rPr>
  </w:style>
  <w:style w:type="paragraph" w:styleId="a4">
    <w:name w:val="footer"/>
    <w:basedOn w:val="a"/>
    <w:link w:val="Char0"/>
    <w:uiPriority w:val="99"/>
    <w:unhideWhenUsed/>
    <w:rsid w:val="001357B0"/>
    <w:pPr>
      <w:tabs>
        <w:tab w:val="center" w:pos="4153"/>
        <w:tab w:val="right" w:pos="8306"/>
      </w:tabs>
      <w:snapToGrid w:val="0"/>
      <w:jc w:val="left"/>
    </w:pPr>
    <w:rPr>
      <w:sz w:val="18"/>
      <w:szCs w:val="18"/>
    </w:rPr>
  </w:style>
  <w:style w:type="character" w:customStyle="1" w:styleId="Char0">
    <w:name w:val="页脚 Char"/>
    <w:basedOn w:val="a0"/>
    <w:link w:val="a4"/>
    <w:uiPriority w:val="99"/>
    <w:rsid w:val="001357B0"/>
    <w:rPr>
      <w:sz w:val="18"/>
      <w:szCs w:val="18"/>
    </w:rPr>
  </w:style>
  <w:style w:type="paragraph" w:styleId="a5">
    <w:name w:val="Balloon Text"/>
    <w:basedOn w:val="a"/>
    <w:link w:val="Char1"/>
    <w:uiPriority w:val="99"/>
    <w:semiHidden/>
    <w:unhideWhenUsed/>
    <w:rsid w:val="001357B0"/>
    <w:rPr>
      <w:sz w:val="18"/>
      <w:szCs w:val="18"/>
    </w:rPr>
  </w:style>
  <w:style w:type="character" w:customStyle="1" w:styleId="Char1">
    <w:name w:val="批注框文本 Char"/>
    <w:basedOn w:val="a0"/>
    <w:link w:val="a5"/>
    <w:uiPriority w:val="99"/>
    <w:semiHidden/>
    <w:rsid w:val="001357B0"/>
    <w:rPr>
      <w:sz w:val="18"/>
      <w:szCs w:val="18"/>
    </w:rPr>
  </w:style>
  <w:style w:type="paragraph" w:styleId="a6">
    <w:name w:val="Normal (Web)"/>
    <w:basedOn w:val="a"/>
    <w:uiPriority w:val="99"/>
    <w:semiHidden/>
    <w:unhideWhenUsed/>
    <w:rsid w:val="006D2B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24215">
      <w:bodyDiv w:val="1"/>
      <w:marLeft w:val="0"/>
      <w:marRight w:val="0"/>
      <w:marTop w:val="0"/>
      <w:marBottom w:val="0"/>
      <w:divBdr>
        <w:top w:val="none" w:sz="0" w:space="0" w:color="auto"/>
        <w:left w:val="none" w:sz="0" w:space="0" w:color="auto"/>
        <w:bottom w:val="none" w:sz="0" w:space="0" w:color="auto"/>
        <w:right w:val="none" w:sz="0" w:space="0" w:color="auto"/>
      </w:divBdr>
    </w:div>
    <w:div w:id="708409910">
      <w:bodyDiv w:val="1"/>
      <w:marLeft w:val="0"/>
      <w:marRight w:val="0"/>
      <w:marTop w:val="0"/>
      <w:marBottom w:val="0"/>
      <w:divBdr>
        <w:top w:val="none" w:sz="0" w:space="0" w:color="auto"/>
        <w:left w:val="none" w:sz="0" w:space="0" w:color="auto"/>
        <w:bottom w:val="none" w:sz="0" w:space="0" w:color="auto"/>
        <w:right w:val="none" w:sz="0" w:space="0" w:color="auto"/>
      </w:divBdr>
    </w:div>
    <w:div w:id="725645275">
      <w:bodyDiv w:val="1"/>
      <w:marLeft w:val="0"/>
      <w:marRight w:val="0"/>
      <w:marTop w:val="0"/>
      <w:marBottom w:val="0"/>
      <w:divBdr>
        <w:top w:val="none" w:sz="0" w:space="0" w:color="auto"/>
        <w:left w:val="none" w:sz="0" w:space="0" w:color="auto"/>
        <w:bottom w:val="none" w:sz="0" w:space="0" w:color="auto"/>
        <w:right w:val="none" w:sz="0" w:space="0" w:color="auto"/>
      </w:divBdr>
    </w:div>
    <w:div w:id="156710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74</Words>
  <Characters>428</Characters>
  <Application>Microsoft Office Word</Application>
  <DocSecurity>0</DocSecurity>
  <Lines>3</Lines>
  <Paragraphs>1</Paragraphs>
  <ScaleCrop>false</ScaleCrop>
  <Company>Microsoft</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周庆</dc:creator>
  <cp:keywords/>
  <dc:description/>
  <cp:lastModifiedBy>刘娈君</cp:lastModifiedBy>
  <cp:revision>10</cp:revision>
  <dcterms:created xsi:type="dcterms:W3CDTF">2016-10-26T07:33:00Z</dcterms:created>
  <dcterms:modified xsi:type="dcterms:W3CDTF">2017-01-17T05:55:00Z</dcterms:modified>
</cp:coreProperties>
</file>