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FE" w:rsidRPr="001357B0" w:rsidRDefault="006C17B3" w:rsidP="00145EFE">
      <w:pPr>
        <w:spacing w:line="360" w:lineRule="auto"/>
        <w:jc w:val="center"/>
        <w:rPr>
          <w:b/>
          <w:sz w:val="28"/>
          <w:szCs w:val="28"/>
        </w:rPr>
      </w:pPr>
      <w:r w:rsidRPr="00935914">
        <w:rPr>
          <w:rFonts w:hint="eastAsia"/>
          <w:b/>
          <w:sz w:val="28"/>
          <w:szCs w:val="28"/>
        </w:rPr>
        <w:t>中国私募基金系列指数之百亿私募混合指数</w:t>
      </w:r>
    </w:p>
    <w:p w:rsidR="00145EFE" w:rsidRPr="00145EFE" w:rsidRDefault="00966579" w:rsidP="00145EF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选样方法</w:t>
      </w:r>
      <w:r w:rsidR="001357B0">
        <w:rPr>
          <w:rFonts w:hint="eastAsia"/>
          <w:b/>
          <w:sz w:val="24"/>
          <w:szCs w:val="24"/>
        </w:rPr>
        <w:t>：</w:t>
      </w:r>
    </w:p>
    <w:p w:rsidR="00966579" w:rsidRPr="00966579" w:rsidRDefault="00966579" w:rsidP="00966579">
      <w:pPr>
        <w:spacing w:line="360" w:lineRule="auto"/>
      </w:pPr>
      <w:r w:rsidRPr="00966579">
        <w:rPr>
          <w:rFonts w:hint="eastAsia"/>
        </w:rPr>
        <w:t>第一步，按照选样时间点上的管理规模对所有阳光私募基金管理人进行排序，筛选出管理规模曾达到过</w:t>
      </w:r>
      <w:r w:rsidRPr="00966579">
        <w:rPr>
          <w:rFonts w:hint="eastAsia"/>
        </w:rPr>
        <w:t>100</w:t>
      </w:r>
      <w:r w:rsidRPr="00966579">
        <w:rPr>
          <w:rFonts w:hint="eastAsia"/>
        </w:rPr>
        <w:t>亿（含）且目前规模超过</w:t>
      </w:r>
      <w:r w:rsidRPr="00966579">
        <w:rPr>
          <w:rFonts w:hint="eastAsia"/>
        </w:rPr>
        <w:t>60</w:t>
      </w:r>
      <w:r w:rsidRPr="00966579">
        <w:rPr>
          <w:rFonts w:hint="eastAsia"/>
        </w:rPr>
        <w:t>亿的</w:t>
      </w:r>
      <w:proofErr w:type="gramStart"/>
      <w:r w:rsidRPr="00966579">
        <w:rPr>
          <w:rFonts w:hint="eastAsia"/>
        </w:rPr>
        <w:t>的</w:t>
      </w:r>
      <w:proofErr w:type="gramEnd"/>
      <w:r w:rsidRPr="00966579">
        <w:rPr>
          <w:rFonts w:hint="eastAsia"/>
        </w:rPr>
        <w:t>阳光私募基金管理人。</w:t>
      </w:r>
    </w:p>
    <w:p w:rsidR="00966579" w:rsidRPr="00966579" w:rsidRDefault="00966579" w:rsidP="00966579">
      <w:pPr>
        <w:spacing w:line="360" w:lineRule="auto"/>
      </w:pPr>
      <w:r w:rsidRPr="00966579">
        <w:rPr>
          <w:rFonts w:hint="eastAsia"/>
        </w:rPr>
        <w:t>第二步，在阳光私募基金管理人中，按标准筛选出符合标准的基金产品。标准如下：</w:t>
      </w:r>
    </w:p>
    <w:p w:rsidR="00966579" w:rsidRPr="00966579" w:rsidRDefault="00966579" w:rsidP="00966579">
      <w:pPr>
        <w:spacing w:line="360" w:lineRule="auto"/>
      </w:pPr>
      <w:r w:rsidRPr="00966579">
        <w:rPr>
          <w:rFonts w:hint="eastAsia"/>
        </w:rPr>
        <w:t xml:space="preserve">a. </w:t>
      </w:r>
      <w:r w:rsidRPr="00966579">
        <w:rPr>
          <w:rFonts w:hint="eastAsia"/>
        </w:rPr>
        <w:t>产品成立等于或大于</w:t>
      </w:r>
      <w:r w:rsidRPr="00966579">
        <w:rPr>
          <w:rFonts w:hint="eastAsia"/>
        </w:rPr>
        <w:t>6</w:t>
      </w:r>
      <w:r w:rsidRPr="00966579">
        <w:rPr>
          <w:rFonts w:hint="eastAsia"/>
        </w:rPr>
        <w:t>个月；</w:t>
      </w:r>
    </w:p>
    <w:p w:rsidR="00966579" w:rsidRPr="00966579" w:rsidRDefault="00966579" w:rsidP="00966579">
      <w:pPr>
        <w:spacing w:line="360" w:lineRule="auto"/>
      </w:pPr>
      <w:r w:rsidRPr="00966579">
        <w:rPr>
          <w:rFonts w:hint="eastAsia"/>
        </w:rPr>
        <w:t xml:space="preserve">b. </w:t>
      </w:r>
      <w:r w:rsidRPr="00966579">
        <w:rPr>
          <w:rFonts w:hint="eastAsia"/>
        </w:rPr>
        <w:t>正常情况下，产品到期日距今不少于</w:t>
      </w:r>
      <w:r w:rsidRPr="00966579">
        <w:rPr>
          <w:rFonts w:hint="eastAsia"/>
        </w:rPr>
        <w:t>1</w:t>
      </w:r>
      <w:r w:rsidRPr="00966579">
        <w:rPr>
          <w:rFonts w:hint="eastAsia"/>
        </w:rPr>
        <w:t>年；</w:t>
      </w:r>
    </w:p>
    <w:p w:rsidR="00966579" w:rsidRPr="00966579" w:rsidRDefault="00966579" w:rsidP="00966579">
      <w:pPr>
        <w:spacing w:line="360" w:lineRule="auto"/>
      </w:pPr>
      <w:r w:rsidRPr="00966579">
        <w:rPr>
          <w:rFonts w:hint="eastAsia"/>
        </w:rPr>
        <w:t xml:space="preserve">c. </w:t>
      </w:r>
      <w:r w:rsidRPr="00966579">
        <w:rPr>
          <w:rFonts w:hint="eastAsia"/>
        </w:rPr>
        <w:t>单只产品管理规模不低于</w:t>
      </w:r>
      <w:r w:rsidRPr="00966579">
        <w:rPr>
          <w:rFonts w:hint="eastAsia"/>
        </w:rPr>
        <w:t>5000</w:t>
      </w:r>
      <w:r w:rsidRPr="00966579">
        <w:rPr>
          <w:rFonts w:hint="eastAsia"/>
        </w:rPr>
        <w:t>万元人民币。</w:t>
      </w:r>
    </w:p>
    <w:p w:rsidR="00966579" w:rsidRPr="00966579" w:rsidRDefault="00966579" w:rsidP="00966579">
      <w:pPr>
        <w:spacing w:line="360" w:lineRule="auto"/>
      </w:pPr>
      <w:r w:rsidRPr="00966579">
        <w:rPr>
          <w:rFonts w:hint="eastAsia"/>
        </w:rPr>
        <w:t>第三步，在每年的</w:t>
      </w:r>
      <w:r w:rsidR="00115BA7">
        <w:t>12</w:t>
      </w:r>
      <w:r w:rsidRPr="00966579">
        <w:rPr>
          <w:rFonts w:hint="eastAsia"/>
        </w:rPr>
        <w:t>月</w:t>
      </w:r>
      <w:r w:rsidRPr="00966579">
        <w:rPr>
          <w:rFonts w:hint="eastAsia"/>
        </w:rPr>
        <w:t>31</w:t>
      </w:r>
      <w:r w:rsidRPr="00966579">
        <w:rPr>
          <w:rFonts w:hint="eastAsia"/>
        </w:rPr>
        <w:t>日，对第二步符合标准的产品，进一步筛选。首先统计百亿级私募基金管理人申报的产品总数进行统计，并根据产品所采用的策略（股票、债券、对冲）进行分类统计，确定每家私</w:t>
      </w:r>
      <w:proofErr w:type="gramStart"/>
      <w:r w:rsidRPr="00966579">
        <w:rPr>
          <w:rFonts w:hint="eastAsia"/>
        </w:rPr>
        <w:t>募</w:t>
      </w:r>
      <w:proofErr w:type="gramEnd"/>
      <w:r w:rsidRPr="00966579">
        <w:rPr>
          <w:rFonts w:hint="eastAsia"/>
        </w:rPr>
        <w:t>基金管理人旗下不同产品类型的数量。</w:t>
      </w:r>
    </w:p>
    <w:p w:rsidR="00966579" w:rsidRPr="00966579" w:rsidRDefault="00966579" w:rsidP="00966579">
      <w:pPr>
        <w:spacing w:line="360" w:lineRule="auto"/>
      </w:pPr>
      <w:r w:rsidRPr="00966579">
        <w:rPr>
          <w:rFonts w:hint="eastAsia"/>
        </w:rPr>
        <w:t>第四步，指数成分产品数量为【</w:t>
      </w:r>
      <w:r w:rsidRPr="00966579">
        <w:rPr>
          <w:rFonts w:hint="eastAsia"/>
        </w:rPr>
        <w:t>4</w:t>
      </w:r>
      <w:r w:rsidR="00115BA7">
        <w:t>9</w:t>
      </w:r>
      <w:bookmarkStart w:id="0" w:name="_GoBack"/>
      <w:bookmarkEnd w:id="0"/>
      <w:r w:rsidRPr="00966579">
        <w:rPr>
          <w:rFonts w:hint="eastAsia"/>
        </w:rPr>
        <w:t>】只。在百亿级私募基金管理人申报的不同类型产品中，在每年的</w:t>
      </w:r>
      <w:r w:rsidR="00115BA7">
        <w:t>12</w:t>
      </w:r>
      <w:r w:rsidRPr="00966579">
        <w:rPr>
          <w:rFonts w:hint="eastAsia"/>
        </w:rPr>
        <w:t>月</w:t>
      </w:r>
      <w:r w:rsidRPr="00966579">
        <w:rPr>
          <w:rFonts w:hint="eastAsia"/>
        </w:rPr>
        <w:t>31</w:t>
      </w:r>
      <w:r w:rsidRPr="00966579">
        <w:rPr>
          <w:rFonts w:hint="eastAsia"/>
        </w:rPr>
        <w:t>日，对第二步符合标准的产品，按股票、债券以及对</w:t>
      </w:r>
      <w:proofErr w:type="gramStart"/>
      <w:r w:rsidRPr="00966579">
        <w:rPr>
          <w:rFonts w:hint="eastAsia"/>
        </w:rPr>
        <w:t>冲型产品按别</w:t>
      </w:r>
      <w:proofErr w:type="gramEnd"/>
      <w:r w:rsidRPr="00966579">
        <w:rPr>
          <w:rFonts w:hint="eastAsia"/>
        </w:rPr>
        <w:t>类进一步筛选。</w:t>
      </w:r>
    </w:p>
    <w:p w:rsidR="00553E28" w:rsidRPr="00966579" w:rsidRDefault="00553E28" w:rsidP="009A3492">
      <w:pPr>
        <w:spacing w:line="360" w:lineRule="auto"/>
        <w:rPr>
          <w:sz w:val="24"/>
          <w:szCs w:val="24"/>
        </w:rPr>
      </w:pPr>
    </w:p>
    <w:sectPr w:rsidR="00553E28" w:rsidRPr="0096657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F3" w:rsidRDefault="003269F3" w:rsidP="001357B0">
      <w:r>
        <w:separator/>
      </w:r>
    </w:p>
  </w:endnote>
  <w:endnote w:type="continuationSeparator" w:id="0">
    <w:p w:rsidR="003269F3" w:rsidRDefault="003269F3" w:rsidP="001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Default="00115BA7" w:rsidP="001357B0">
    <w:pPr>
      <w:widowControl/>
      <w:spacing w:line="360" w:lineRule="auto"/>
      <w:jc w:val="left"/>
      <w:rPr>
        <w:rFonts w:ascii="Helvetica" w:eastAsia="宋体" w:hAnsi="Helvetica" w:cs="Helvetica"/>
        <w:color w:val="000000" w:themeColor="text1"/>
        <w:kern w:val="0"/>
        <w:sz w:val="18"/>
        <w:szCs w:val="18"/>
      </w:rPr>
    </w:pPr>
    <w:r w:rsidRPr="00115BA7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中国私募基金系列指数</w:t>
    </w:r>
    <w:r w:rsidR="001357B0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合作联系方式：</w:t>
    </w:r>
  </w:p>
  <w:p w:rsidR="001357B0" w:rsidRPr="001357B0" w:rsidRDefault="001357B0" w:rsidP="001357B0">
    <w:pPr>
      <w:widowControl/>
      <w:spacing w:line="360" w:lineRule="auto"/>
      <w:jc w:val="left"/>
    </w:pP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联系人：檀女士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联系电话：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021-68889706-8601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电子邮件：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tanjing@go-goal.com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F3" w:rsidRDefault="003269F3" w:rsidP="001357B0">
      <w:r>
        <w:separator/>
      </w:r>
    </w:p>
  </w:footnote>
  <w:footnote w:type="continuationSeparator" w:id="0">
    <w:p w:rsidR="003269F3" w:rsidRDefault="003269F3" w:rsidP="0013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Pr="001357B0" w:rsidRDefault="001357B0" w:rsidP="001357B0">
    <w:pPr>
      <w:pStyle w:val="a3"/>
      <w:pBdr>
        <w:bottom w:val="single" w:sz="6" w:space="0" w:color="auto"/>
      </w:pBdr>
      <w:jc w:val="right"/>
      <w:rPr>
        <w:sz w:val="21"/>
      </w:rPr>
    </w:pPr>
    <w:r w:rsidRPr="001357B0">
      <w:rPr>
        <w:noProof/>
        <w:sz w:val="21"/>
      </w:rPr>
      <w:drawing>
        <wp:anchor distT="0" distB="0" distL="114300" distR="114300" simplePos="0" relativeHeight="251658240" behindDoc="0" locked="0" layoutInCell="1" allowOverlap="1" wp14:anchorId="5DF4FBCC" wp14:editId="1A6CAFA2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1304925" cy="429621"/>
          <wp:effectExtent l="0" t="0" r="0" b="8890"/>
          <wp:wrapNone/>
          <wp:docPr id="2" name="图片 2" descr="E:\素材\LOGO\朝阳永续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素材\LOGO\朝阳永续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BA7" w:rsidRPr="00115BA7">
      <w:rPr>
        <w:rFonts w:hint="eastAsia"/>
        <w:noProof/>
        <w:sz w:val="21"/>
      </w:rPr>
      <w:t>中国私募基金系列指数</w:t>
    </w:r>
    <w:r w:rsidRPr="001357B0">
      <w:rPr>
        <w:rFonts w:hint="eastAsia"/>
        <w:sz w:val="21"/>
      </w:rPr>
      <w:t>http://index.go-goal.com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1881"/>
    <w:multiLevelType w:val="multilevel"/>
    <w:tmpl w:val="667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8"/>
    <w:rsid w:val="000745A9"/>
    <w:rsid w:val="00115BA7"/>
    <w:rsid w:val="001357B0"/>
    <w:rsid w:val="00145EFE"/>
    <w:rsid w:val="003269F3"/>
    <w:rsid w:val="00553E28"/>
    <w:rsid w:val="006C17B3"/>
    <w:rsid w:val="006D2BDB"/>
    <w:rsid w:val="00763000"/>
    <w:rsid w:val="00830A82"/>
    <w:rsid w:val="00966579"/>
    <w:rsid w:val="009A3492"/>
    <w:rsid w:val="00A56C3D"/>
    <w:rsid w:val="00AD6CE9"/>
    <w:rsid w:val="00E022C8"/>
    <w:rsid w:val="00E2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BBC9C-5C92-4AF8-85E0-3348EC1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7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57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57B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D2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周庆</dc:creator>
  <cp:keywords/>
  <dc:description/>
  <cp:lastModifiedBy>刘娈君</cp:lastModifiedBy>
  <cp:revision>9</cp:revision>
  <dcterms:created xsi:type="dcterms:W3CDTF">2016-10-26T07:33:00Z</dcterms:created>
  <dcterms:modified xsi:type="dcterms:W3CDTF">2017-01-16T06:45:00Z</dcterms:modified>
</cp:coreProperties>
</file>